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3E6" w:rsidRDefault="00006958">
      <w:r>
        <w:t>Comments</w:t>
      </w:r>
      <w:r w:rsidR="00C15D3B">
        <w:t xml:space="preserve"> by Ed Cheetham (UK) – dated 30</w:t>
      </w:r>
      <w:r w:rsidR="00984CA8">
        <w:t>/08/16</w:t>
      </w:r>
      <w:r>
        <w:t xml:space="preserve"> on:</w:t>
      </w:r>
    </w:p>
    <w:p w:rsidR="00006958" w:rsidRDefault="00006958">
      <w:r>
        <w:t>Discussion paper – Extension Modifications to the International Release</w:t>
      </w:r>
    </w:p>
    <w:p w:rsidR="00006958" w:rsidRDefault="00006958">
      <w:r>
        <w:t>Australian Digital Health Agency – Matt Cordell August 2, 2016</w:t>
      </w:r>
    </w:p>
    <w:p w:rsidR="00006958" w:rsidRDefault="00006958"/>
    <w:tbl>
      <w:tblPr>
        <w:tblStyle w:val="TableGrid"/>
        <w:tblW w:w="14884" w:type="dxa"/>
        <w:tblInd w:w="-572" w:type="dxa"/>
        <w:tblLook w:val="04A0" w:firstRow="1" w:lastRow="0" w:firstColumn="1" w:lastColumn="0" w:noHBand="0" w:noVBand="1"/>
      </w:tblPr>
      <w:tblGrid>
        <w:gridCol w:w="1560"/>
        <w:gridCol w:w="1842"/>
        <w:gridCol w:w="1701"/>
        <w:gridCol w:w="9781"/>
      </w:tblGrid>
      <w:tr w:rsidR="00984CA8" w:rsidTr="009B240A">
        <w:tc>
          <w:tcPr>
            <w:tcW w:w="1560" w:type="dxa"/>
          </w:tcPr>
          <w:p w:rsidR="00984CA8" w:rsidRDefault="00984CA8" w:rsidP="00D30388">
            <w:r>
              <w:t>Comment type</w:t>
            </w:r>
          </w:p>
        </w:tc>
        <w:tc>
          <w:tcPr>
            <w:tcW w:w="1842" w:type="dxa"/>
          </w:tcPr>
          <w:p w:rsidR="00984CA8" w:rsidRDefault="00984CA8" w:rsidP="00D30388">
            <w:r>
              <w:t>Reference</w:t>
            </w:r>
          </w:p>
        </w:tc>
        <w:tc>
          <w:tcPr>
            <w:tcW w:w="1701" w:type="dxa"/>
          </w:tcPr>
          <w:p w:rsidR="00984CA8" w:rsidRDefault="00984CA8" w:rsidP="00D30388">
            <w:r>
              <w:t>Section text</w:t>
            </w:r>
          </w:p>
        </w:tc>
        <w:tc>
          <w:tcPr>
            <w:tcW w:w="9781" w:type="dxa"/>
          </w:tcPr>
          <w:p w:rsidR="00984CA8" w:rsidRDefault="00984CA8" w:rsidP="00D30388">
            <w:r>
              <w:t>Comment</w:t>
            </w:r>
          </w:p>
        </w:tc>
      </w:tr>
      <w:tr w:rsidR="00984CA8" w:rsidTr="009B240A">
        <w:tc>
          <w:tcPr>
            <w:tcW w:w="1560" w:type="dxa"/>
          </w:tcPr>
          <w:p w:rsidR="00984CA8" w:rsidRDefault="00984CA8" w:rsidP="00D30388">
            <w:r>
              <w:t>General</w:t>
            </w:r>
          </w:p>
        </w:tc>
        <w:tc>
          <w:tcPr>
            <w:tcW w:w="1842" w:type="dxa"/>
          </w:tcPr>
          <w:p w:rsidR="00984CA8" w:rsidRDefault="00984CA8" w:rsidP="00D30388">
            <w:r>
              <w:t>Whole document</w:t>
            </w:r>
          </w:p>
        </w:tc>
        <w:tc>
          <w:tcPr>
            <w:tcW w:w="1701" w:type="dxa"/>
          </w:tcPr>
          <w:p w:rsidR="00984CA8" w:rsidRDefault="00984CA8" w:rsidP="00D30388"/>
        </w:tc>
        <w:tc>
          <w:tcPr>
            <w:tcW w:w="9781" w:type="dxa"/>
          </w:tcPr>
          <w:p w:rsidR="00984CA8" w:rsidRDefault="00984CA8" w:rsidP="00D30388">
            <w:r>
              <w:t>I agree that acquiring clarity on the nature of changes that ‘Extension builders’ can make is valuable</w:t>
            </w:r>
            <w:r w:rsidR="00C00AB2">
              <w:t>. This area is recognised to be complex.</w:t>
            </w:r>
          </w:p>
          <w:p w:rsidR="00651220" w:rsidRDefault="00651220" w:rsidP="00D30388">
            <w:r>
              <w:t>Whilst a bit buggy this paper goes a very long way to advancing the required discussion. Thank you.</w:t>
            </w:r>
          </w:p>
        </w:tc>
      </w:tr>
      <w:tr w:rsidR="00984CA8" w:rsidTr="009B240A">
        <w:tc>
          <w:tcPr>
            <w:tcW w:w="1560" w:type="dxa"/>
          </w:tcPr>
          <w:p w:rsidR="00984CA8" w:rsidRDefault="00984CA8" w:rsidP="00D30388">
            <w:r>
              <w:t>Technical</w:t>
            </w:r>
          </w:p>
        </w:tc>
        <w:tc>
          <w:tcPr>
            <w:tcW w:w="1842" w:type="dxa"/>
          </w:tcPr>
          <w:p w:rsidR="00984CA8" w:rsidRDefault="009B240A" w:rsidP="00D30388">
            <w:r>
              <w:t>4</w:t>
            </w:r>
            <w:r w:rsidR="00651220">
              <w:t xml:space="preserve"> and beyond</w:t>
            </w:r>
          </w:p>
        </w:tc>
        <w:tc>
          <w:tcPr>
            <w:tcW w:w="1701" w:type="dxa"/>
          </w:tcPr>
          <w:p w:rsidR="00984CA8" w:rsidRDefault="009B240A" w:rsidP="00D30388">
            <w:r>
              <w:t>Changes to core components through extensions are supported within RF2</w:t>
            </w:r>
          </w:p>
        </w:tc>
        <w:tc>
          <w:tcPr>
            <w:tcW w:w="9781" w:type="dxa"/>
          </w:tcPr>
          <w:p w:rsidR="00984CA8" w:rsidRDefault="009B240A" w:rsidP="00D30388">
            <w:r>
              <w:t>My interpretation is that this is a misuse of the freedoms afforded by RF2. Much of what follows in the paper turns on the ‘possible changes’</w:t>
            </w:r>
            <w:r w:rsidR="00651220">
              <w:t xml:space="preserve"> listed, and as presented it would appear that all are possible. This seems wrong.</w:t>
            </w:r>
          </w:p>
          <w:p w:rsidR="00C00AB2" w:rsidRDefault="00C00AB2" w:rsidP="00D30388"/>
          <w:p w:rsidR="009B240A" w:rsidRDefault="009B240A" w:rsidP="00D30388">
            <w:r>
              <w:t>If we start by looking at the definition of ‘SNOMED CT module’</w:t>
            </w:r>
            <w:r w:rsidR="00C00AB2">
              <w:t xml:space="preserve"> [1]</w:t>
            </w:r>
            <w:r>
              <w:t>, we find:</w:t>
            </w:r>
          </w:p>
          <w:p w:rsidR="009B240A" w:rsidRDefault="009B240A" w:rsidP="009B240A">
            <w:r>
              <w:t>“…3. The organization responsible for a module can move a component and reference set member from that module to another module that the same organization is responsible for…”</w:t>
            </w:r>
          </w:p>
          <w:p w:rsidR="00C00AB2" w:rsidRDefault="00C00AB2" w:rsidP="009B240A">
            <w:r>
              <w:t>Only the international organisation is ‘responsible’ for components published in an international module; if they decide to ‘push’ a component to another module that is their decision – it is not the decision of others to ‘pull’ components into their own module.</w:t>
            </w:r>
          </w:p>
          <w:p w:rsidR="00AE4D87" w:rsidRDefault="00AE4D87" w:rsidP="009B240A"/>
          <w:p w:rsidR="009B240A" w:rsidRPr="00AE4D87" w:rsidRDefault="009B240A" w:rsidP="009B240A">
            <w:pPr>
              <w:rPr>
                <w:b/>
              </w:rPr>
            </w:pPr>
            <w:r w:rsidRPr="00AE4D87">
              <w:rPr>
                <w:b/>
              </w:rPr>
              <w:t xml:space="preserve">There is </w:t>
            </w:r>
            <w:r w:rsidRPr="00AE4D87">
              <w:rPr>
                <w:b/>
                <w:u w:val="single"/>
              </w:rPr>
              <w:t>no clause</w:t>
            </w:r>
            <w:r w:rsidRPr="00AE4D87">
              <w:rPr>
                <w:b/>
              </w:rPr>
              <w:t xml:space="preserve"> sanctioning the move of a component </w:t>
            </w:r>
            <w:r w:rsidRPr="00AE4D87">
              <w:rPr>
                <w:b/>
                <w:u w:val="single"/>
              </w:rPr>
              <w:t>from</w:t>
            </w:r>
            <w:r w:rsidRPr="00AE4D87">
              <w:rPr>
                <w:b/>
              </w:rPr>
              <w:t xml:space="preserve"> the international module to an Extension builder module, and yet this</w:t>
            </w:r>
            <w:r w:rsidR="00C00AB2" w:rsidRPr="00AE4D87">
              <w:rPr>
                <w:b/>
              </w:rPr>
              <w:t xml:space="preserve"> right is required </w:t>
            </w:r>
            <w:r w:rsidRPr="00AE4D87">
              <w:rPr>
                <w:b/>
              </w:rPr>
              <w:t xml:space="preserve">to make </w:t>
            </w:r>
            <w:r w:rsidR="00C00AB2" w:rsidRPr="00AE4D87">
              <w:rPr>
                <w:b/>
              </w:rPr>
              <w:t xml:space="preserve">some of </w:t>
            </w:r>
            <w:r w:rsidRPr="00AE4D87">
              <w:rPr>
                <w:b/>
              </w:rPr>
              <w:t>the changes explored in sections</w:t>
            </w:r>
            <w:r w:rsidR="00C00AB2" w:rsidRPr="00AE4D87">
              <w:rPr>
                <w:b/>
              </w:rPr>
              <w:t xml:space="preserve"> 5 and 6.</w:t>
            </w:r>
          </w:p>
          <w:p w:rsidR="00C00AB2" w:rsidRDefault="00C00AB2" w:rsidP="009B240A"/>
          <w:p w:rsidR="009B240A" w:rsidRDefault="00C00AB2" w:rsidP="00D30388">
            <w:r>
              <w:t>As a modest reinterpretation of the ‘</w:t>
            </w:r>
            <w:r w:rsidRPr="00C00AB2">
              <w:t>Multiple Consistent Views</w:t>
            </w:r>
            <w:r>
              <w:t>’ desideratum [2], it would be reasonable to expect, for any agent required to interact with the international data in multiple Member jurisdictions, that the (same release of the) international data would have the same properties in all jurisdictions.</w:t>
            </w:r>
          </w:p>
          <w:p w:rsidR="00651220" w:rsidRDefault="00C00AB2" w:rsidP="00D30388">
            <w:r>
              <w:t>For example, a provider of SNOMED CT-driven decision support rules written against the international data should reasonably assume that any knowledge modelling (role</w:t>
            </w:r>
            <w:r w:rsidR="00AE4D87">
              <w:t xml:space="preserve"> &amp; hierarchical</w:t>
            </w:r>
            <w:r>
              <w:t xml:space="preserve"> modelling, post-classificati</w:t>
            </w:r>
            <w:r w:rsidR="00AE4D87">
              <w:t>on [using the agreed DL]) within the scope of modelling allowed in the international module(s) will be logically reflected in every Member jurisdiction, however it has been ‘extended’.</w:t>
            </w:r>
          </w:p>
          <w:p w:rsidR="00651220" w:rsidRDefault="00651220" w:rsidP="00D30388"/>
          <w:p w:rsidR="00C00AB2" w:rsidRPr="00651220" w:rsidRDefault="00AE4D87" w:rsidP="00D30388">
            <w:pPr>
              <w:rPr>
                <w:b/>
              </w:rPr>
            </w:pPr>
            <w:r w:rsidRPr="00651220">
              <w:rPr>
                <w:b/>
              </w:rPr>
              <w:lastRenderedPageBreak/>
              <w:t>Whilst they would expect to have to ‘extend’ their decision support rules into the new Member data, they should not have to change their rules for international data.</w:t>
            </w:r>
          </w:p>
          <w:p w:rsidR="00AE4D87" w:rsidRDefault="00AE4D87" w:rsidP="00D30388"/>
          <w:p w:rsidR="00AE4D87" w:rsidRDefault="00AE4D87" w:rsidP="00D30388">
            <w:r>
              <w:t>Some of the changes proposed in sections 4, 5 and 6 do not violate this:</w:t>
            </w:r>
          </w:p>
          <w:p w:rsidR="00AE4D87" w:rsidRDefault="00AE4D87" w:rsidP="00AE4D87">
            <w:pPr>
              <w:pStyle w:val="ListParagraph"/>
              <w:numPr>
                <w:ilvl w:val="0"/>
                <w:numId w:val="1"/>
              </w:numPr>
            </w:pPr>
            <w:r>
              <w:t>the proposed introduction of intermediate defined concept in 5.4 (with post-classification acquisition of international subtypes)</w:t>
            </w:r>
          </w:p>
          <w:p w:rsidR="00AE4D87" w:rsidRDefault="00AE4D87" w:rsidP="00AE4D87">
            <w:pPr>
              <w:pStyle w:val="ListParagraph"/>
              <w:numPr>
                <w:ilvl w:val="0"/>
                <w:numId w:val="1"/>
              </w:numPr>
            </w:pPr>
            <w:r>
              <w:t>(depending on how it is achieved) the ‘left hand side’ aspirin tablet example.</w:t>
            </w:r>
          </w:p>
          <w:p w:rsidR="00AE4D87" w:rsidRDefault="00AE4D87" w:rsidP="00AE4D87">
            <w:pPr>
              <w:pStyle w:val="ListParagraph"/>
              <w:numPr>
                <w:ilvl w:val="0"/>
                <w:numId w:val="1"/>
              </w:numPr>
            </w:pPr>
            <w:r>
              <w:t>(logically) the primitive interposed ‘tree nut’ intermediate</w:t>
            </w:r>
            <w:r w:rsidR="00651220">
              <w:t xml:space="preserve"> [but this sort of change may be harder to QA]</w:t>
            </w:r>
          </w:p>
          <w:p w:rsidR="00AE4D87" w:rsidRDefault="00AE4D87" w:rsidP="00D30388"/>
          <w:p w:rsidR="00AE4D87" w:rsidRDefault="00AE4D87" w:rsidP="00D30388">
            <w:r>
              <w:t xml:space="preserve">However other change types </w:t>
            </w:r>
            <w:r w:rsidR="00651220">
              <w:t>(5.6 ‘fixing defects and issues’) and the stated IsA relationships described in 5.5 (with the consequent changes to role definitions) appear to result in changes to international data that would create inconsistent ‘views’ between jurisdictions.</w:t>
            </w:r>
          </w:p>
          <w:p w:rsidR="00C00AB2" w:rsidRDefault="00C00AB2" w:rsidP="00D30388"/>
          <w:p w:rsidR="00C00AB2" w:rsidRDefault="00C00AB2" w:rsidP="00D30388">
            <w:r>
              <w:t xml:space="preserve">[1] </w:t>
            </w:r>
            <w:hyperlink r:id="rId6" w:history="1">
              <w:r w:rsidRPr="001761D4">
                <w:rPr>
                  <w:rStyle w:val="Hyperlink"/>
                </w:rPr>
                <w:t>http://snomed.org/gl</w:t>
              </w:r>
            </w:hyperlink>
            <w:r>
              <w:t xml:space="preserve"> </w:t>
            </w:r>
          </w:p>
          <w:p w:rsidR="00C00AB2" w:rsidRDefault="00C00AB2" w:rsidP="00D30388">
            <w:r>
              <w:t xml:space="preserve">[2] </w:t>
            </w:r>
            <w:hyperlink r:id="rId7" w:history="1">
              <w:r w:rsidRPr="001761D4">
                <w:rPr>
                  <w:rStyle w:val="Hyperlink"/>
                </w:rPr>
                <w:t>http://www.ncbi.nlm.nih.gov/pubmed/9865037</w:t>
              </w:r>
            </w:hyperlink>
            <w:r>
              <w:t xml:space="preserve"> </w:t>
            </w:r>
          </w:p>
        </w:tc>
      </w:tr>
      <w:tr w:rsidR="00984CA8" w:rsidTr="009B240A">
        <w:tc>
          <w:tcPr>
            <w:tcW w:w="1560" w:type="dxa"/>
          </w:tcPr>
          <w:p w:rsidR="00984CA8" w:rsidRDefault="00984CA8" w:rsidP="00D30388">
            <w:r>
              <w:lastRenderedPageBreak/>
              <w:t>Technical</w:t>
            </w:r>
          </w:p>
        </w:tc>
        <w:tc>
          <w:tcPr>
            <w:tcW w:w="1842" w:type="dxa"/>
          </w:tcPr>
          <w:p w:rsidR="00984CA8" w:rsidRDefault="00651220" w:rsidP="00D30388">
            <w:r>
              <w:t>4 and beyond</w:t>
            </w:r>
          </w:p>
        </w:tc>
        <w:tc>
          <w:tcPr>
            <w:tcW w:w="1701" w:type="dxa"/>
          </w:tcPr>
          <w:p w:rsidR="00984CA8" w:rsidRDefault="00984CA8" w:rsidP="00D30388"/>
        </w:tc>
        <w:tc>
          <w:tcPr>
            <w:tcW w:w="9781" w:type="dxa"/>
          </w:tcPr>
          <w:p w:rsidR="00984CA8" w:rsidRDefault="00651220" w:rsidP="00D30388">
            <w:r>
              <w:t>If I am unhappy with all change types being allowed (even if RF2 technically allows it)</w:t>
            </w:r>
            <w:r w:rsidR="00192748">
              <w:t>, then</w:t>
            </w:r>
            <w:r>
              <w:t xml:space="preserve"> what would I support</w:t>
            </w:r>
            <w:r w:rsidR="009E3F36">
              <w:t xml:space="preserve"> (in addition to new ‘leaf’ extension content and self-contained ‘trees’</w:t>
            </w:r>
            <w:r w:rsidR="00853DEF">
              <w:t xml:space="preserve"> of extension content</w:t>
            </w:r>
            <w:r w:rsidR="009E3F36">
              <w:t>)</w:t>
            </w:r>
            <w:r w:rsidR="00192748">
              <w:t>?</w:t>
            </w:r>
            <w:r>
              <w:t>:</w:t>
            </w:r>
          </w:p>
          <w:p w:rsidR="00651220" w:rsidRDefault="00651220" w:rsidP="00D30388"/>
          <w:p w:rsidR="009E3F36" w:rsidRDefault="00651220" w:rsidP="00853DEF">
            <w:pPr>
              <w:pStyle w:val="ListParagraph"/>
              <w:numPr>
                <w:ilvl w:val="0"/>
                <w:numId w:val="2"/>
              </w:numPr>
            </w:pPr>
            <w:r w:rsidRPr="00BC5513">
              <w:rPr>
                <w:u w:val="single"/>
              </w:rPr>
              <w:t>Definitely</w:t>
            </w:r>
            <w:r w:rsidR="00BC5513">
              <w:rPr>
                <w:u w:val="single"/>
              </w:rPr>
              <w:t xml:space="preserve"> support</w:t>
            </w:r>
            <w:r w:rsidRPr="00BC5513">
              <w:rPr>
                <w:u w:val="single"/>
              </w:rPr>
              <w:t>:</w:t>
            </w:r>
            <w:r w:rsidR="00853DEF">
              <w:rPr>
                <w:u w:val="single"/>
              </w:rPr>
              <w:t xml:space="preserve"> </w:t>
            </w:r>
            <w:r>
              <w:t>The introduction of intermediate defined concepts (5.4) where definitions are achieved using properties and values that are themselves available in the international module.</w:t>
            </w:r>
          </w:p>
          <w:p w:rsidR="009E3F36" w:rsidRDefault="00651220" w:rsidP="00651220">
            <w:pPr>
              <w:pStyle w:val="ListParagraph"/>
              <w:numPr>
                <w:ilvl w:val="0"/>
                <w:numId w:val="2"/>
              </w:numPr>
            </w:pPr>
            <w:r w:rsidRPr="00BC5513">
              <w:rPr>
                <w:u w:val="single"/>
              </w:rPr>
              <w:t>Possibly</w:t>
            </w:r>
            <w:r w:rsidR="00BC5513">
              <w:rPr>
                <w:u w:val="single"/>
              </w:rPr>
              <w:t xml:space="preserve"> support</w:t>
            </w:r>
            <w:r w:rsidRPr="00BC5513">
              <w:rPr>
                <w:u w:val="single"/>
              </w:rPr>
              <w:t>:</w:t>
            </w:r>
          </w:p>
          <w:p w:rsidR="00651220" w:rsidRDefault="00651220" w:rsidP="009E3F36">
            <w:pPr>
              <w:pStyle w:val="ListParagraph"/>
              <w:numPr>
                <w:ilvl w:val="1"/>
                <w:numId w:val="2"/>
              </w:numPr>
            </w:pPr>
            <w:r>
              <w:t xml:space="preserve">The introduction of intermediate primitive concepts (5.3) </w:t>
            </w:r>
            <w:r w:rsidRPr="00FD46EB">
              <w:rPr>
                <w:b/>
              </w:rPr>
              <w:t>where it is possible to demonstrate that the stated hierarchical relationships ‘broken’ by this action are transitively recoverable.</w:t>
            </w:r>
            <w:r w:rsidR="00BC5513">
              <w:rPr>
                <w:b/>
              </w:rPr>
              <w:t xml:space="preserve"> </w:t>
            </w:r>
            <w:r w:rsidR="00BC5513" w:rsidRPr="00BC5513">
              <w:t xml:space="preserve">[note that this would still require changes to international ‘rules’ such as </w:t>
            </w:r>
            <w:r w:rsidR="00BC5513">
              <w:t>“</w:t>
            </w:r>
            <w:r w:rsidR="00BC5513" w:rsidRPr="00BC5513">
              <w:t>fill this drop-down list with all the immediate children of ‘nut’</w:t>
            </w:r>
            <w:r w:rsidR="00BC5513">
              <w:t>”</w:t>
            </w:r>
            <w:r w:rsidR="00BC5513" w:rsidRPr="00BC5513">
              <w:t xml:space="preserve"> to retain </w:t>
            </w:r>
            <w:r w:rsidR="00BC5513">
              <w:t xml:space="preserve">literal </w:t>
            </w:r>
            <w:r w:rsidR="00BC5513" w:rsidRPr="00BC5513">
              <w:t>consistency</w:t>
            </w:r>
            <w:r w:rsidR="00BC5513">
              <w:t>, but the logic would be unchanged</w:t>
            </w:r>
            <w:r w:rsidR="00BC5513" w:rsidRPr="00BC5513">
              <w:t>]</w:t>
            </w:r>
          </w:p>
          <w:p w:rsidR="009E3F36" w:rsidRDefault="009E3F36" w:rsidP="009E3F36">
            <w:pPr>
              <w:pStyle w:val="ListParagraph"/>
              <w:numPr>
                <w:ilvl w:val="1"/>
                <w:numId w:val="2"/>
              </w:numPr>
            </w:pPr>
            <w:r>
              <w:t xml:space="preserve">Addition of new defining role Relationships where the </w:t>
            </w:r>
            <w:proofErr w:type="spellStart"/>
            <w:r>
              <w:t>SourceId</w:t>
            </w:r>
            <w:proofErr w:type="spellEnd"/>
            <w:r>
              <w:t xml:space="preserve"> is distributed in an international module</w:t>
            </w:r>
            <w:r w:rsidR="00853DEF">
              <w:t xml:space="preserve"> and the </w:t>
            </w:r>
            <w:proofErr w:type="spellStart"/>
            <w:r w:rsidR="00853DEF">
              <w:t>relationshipType</w:t>
            </w:r>
            <w:proofErr w:type="spellEnd"/>
            <w:r w:rsidR="00853DEF">
              <w:t xml:space="preserve"> &amp; </w:t>
            </w:r>
            <w:proofErr w:type="spellStart"/>
            <w:r w:rsidR="00853DEF">
              <w:t>destinationId</w:t>
            </w:r>
            <w:proofErr w:type="spellEnd"/>
            <w:r w:rsidR="00853DEF">
              <w:t xml:space="preserve"> are from an extension module</w:t>
            </w:r>
            <w:r>
              <w:t xml:space="preserve">, </w:t>
            </w:r>
            <w:r w:rsidRPr="00853DEF">
              <w:rPr>
                <w:b/>
              </w:rPr>
              <w:t xml:space="preserve">but </w:t>
            </w:r>
            <w:r w:rsidR="00853DEF" w:rsidRPr="00853DEF">
              <w:rPr>
                <w:b/>
              </w:rPr>
              <w:t xml:space="preserve">only where the </w:t>
            </w:r>
            <w:proofErr w:type="spellStart"/>
            <w:r w:rsidR="00853DEF" w:rsidRPr="00853DEF">
              <w:rPr>
                <w:b/>
              </w:rPr>
              <w:t>SourceId</w:t>
            </w:r>
            <w:proofErr w:type="spellEnd"/>
            <w:r w:rsidR="00853DEF" w:rsidRPr="00853DEF">
              <w:rPr>
                <w:b/>
              </w:rPr>
              <w:t xml:space="preserve"> concept is primitive</w:t>
            </w:r>
          </w:p>
          <w:p w:rsidR="00651220" w:rsidRDefault="00651220" w:rsidP="00651220">
            <w:pPr>
              <w:pStyle w:val="ListParagraph"/>
              <w:numPr>
                <w:ilvl w:val="0"/>
                <w:numId w:val="2"/>
              </w:numPr>
            </w:pPr>
            <w:r>
              <w:t>Definitely not:</w:t>
            </w:r>
          </w:p>
          <w:p w:rsidR="009E3F36" w:rsidRDefault="009E3F36" w:rsidP="009E3F36">
            <w:pPr>
              <w:pStyle w:val="ListParagraph"/>
              <w:numPr>
                <w:ilvl w:val="1"/>
                <w:numId w:val="2"/>
              </w:numPr>
            </w:pPr>
            <w:r>
              <w:t xml:space="preserve">Changes to </w:t>
            </w:r>
            <w:proofErr w:type="spellStart"/>
            <w:r>
              <w:t>definitionStatus</w:t>
            </w:r>
            <w:r w:rsidR="00853DEF">
              <w:t>Id</w:t>
            </w:r>
            <w:proofErr w:type="spellEnd"/>
            <w:r>
              <w:t xml:space="preserve"> of concepts in the international module.</w:t>
            </w:r>
          </w:p>
          <w:p w:rsidR="00651220" w:rsidRDefault="00DB4FDF" w:rsidP="00DB4FDF">
            <w:pPr>
              <w:pStyle w:val="ListParagraph"/>
              <w:numPr>
                <w:ilvl w:val="1"/>
                <w:numId w:val="2"/>
              </w:numPr>
            </w:pPr>
            <w:r>
              <w:t xml:space="preserve">Inactivation of international components </w:t>
            </w:r>
            <w:r w:rsidRPr="00FD46EB">
              <w:rPr>
                <w:b/>
              </w:rPr>
              <w:t xml:space="preserve">unless they are relationships that can </w:t>
            </w:r>
            <w:r w:rsidRPr="00FD46EB">
              <w:rPr>
                <w:b/>
              </w:rPr>
              <w:lastRenderedPageBreak/>
              <w:t>transitively be recovered (e.g. 2 above)</w:t>
            </w:r>
            <w:r>
              <w:t xml:space="preserve">. The changes described in 5.6 </w:t>
            </w:r>
            <w:r w:rsidR="00FD46EB">
              <w:t>may/</w:t>
            </w:r>
            <w:r>
              <w:t>will result in inconsistent views of the international data (regardless of whether the changed views are ‘better’).</w:t>
            </w:r>
          </w:p>
          <w:p w:rsidR="00DB4FDF" w:rsidRDefault="00DB4FDF" w:rsidP="00DB4FDF">
            <w:pPr>
              <w:pStyle w:val="ListParagraph"/>
              <w:numPr>
                <w:ilvl w:val="1"/>
                <w:numId w:val="2"/>
              </w:numPr>
            </w:pPr>
            <w:r>
              <w:t xml:space="preserve">Addition of </w:t>
            </w:r>
            <w:r w:rsidR="00FD46EB">
              <w:t>new stated IsA R</w:t>
            </w:r>
            <w:r>
              <w:t xml:space="preserve">elationships where the </w:t>
            </w:r>
            <w:proofErr w:type="spellStart"/>
            <w:r w:rsidR="00FD46EB">
              <w:t>SourceId</w:t>
            </w:r>
            <w:proofErr w:type="spellEnd"/>
            <w:r w:rsidR="00FD46EB">
              <w:t xml:space="preserve"> is distributed in an international module</w:t>
            </w:r>
            <w:r w:rsidR="009E3F36">
              <w:t xml:space="preserve"> </w:t>
            </w:r>
            <w:r w:rsidR="00853DEF">
              <w:rPr>
                <w:b/>
              </w:rPr>
              <w:t>unless they have been</w:t>
            </w:r>
            <w:r w:rsidR="009E3F36">
              <w:rPr>
                <w:b/>
              </w:rPr>
              <w:t xml:space="preserve"> added to support </w:t>
            </w:r>
            <w:r w:rsidR="009E3F36" w:rsidRPr="00FD46EB">
              <w:rPr>
                <w:b/>
              </w:rPr>
              <w:t>transitive</w:t>
            </w:r>
            <w:r w:rsidR="009E3F36">
              <w:rPr>
                <w:b/>
              </w:rPr>
              <w:t xml:space="preserve"> recovery of pu</w:t>
            </w:r>
            <w:bookmarkStart w:id="0" w:name="_GoBack"/>
            <w:bookmarkEnd w:id="0"/>
            <w:r w:rsidR="009E3F36">
              <w:rPr>
                <w:b/>
              </w:rPr>
              <w:t>blished international relationships</w:t>
            </w:r>
            <w:r w:rsidR="009E3F36" w:rsidRPr="00FD46EB">
              <w:rPr>
                <w:b/>
              </w:rPr>
              <w:t xml:space="preserve"> (e.g. 2 above)</w:t>
            </w:r>
            <w:r w:rsidR="009E3F36">
              <w:t>.</w:t>
            </w:r>
          </w:p>
          <w:p w:rsidR="009E3F36" w:rsidRDefault="00FD46EB" w:rsidP="009E3F36">
            <w:pPr>
              <w:pStyle w:val="ListParagraph"/>
              <w:numPr>
                <w:ilvl w:val="1"/>
                <w:numId w:val="2"/>
              </w:numPr>
            </w:pPr>
            <w:r>
              <w:t xml:space="preserve">Addition of new </w:t>
            </w:r>
            <w:r w:rsidR="009E3F36">
              <w:t xml:space="preserve">defining </w:t>
            </w:r>
            <w:r>
              <w:t>role Relat</w:t>
            </w:r>
            <w:r w:rsidR="009E3F36">
              <w:t xml:space="preserve">ionships where the </w:t>
            </w:r>
            <w:proofErr w:type="spellStart"/>
            <w:r w:rsidR="009E3F36">
              <w:t>SourceId</w:t>
            </w:r>
            <w:proofErr w:type="spellEnd"/>
            <w:r w:rsidR="009E3F36">
              <w:t xml:space="preserve">, </w:t>
            </w:r>
            <w:r w:rsidR="00112640">
              <w:t xml:space="preserve">&amp; </w:t>
            </w:r>
            <w:proofErr w:type="spellStart"/>
            <w:r>
              <w:t>TypeId</w:t>
            </w:r>
            <w:proofErr w:type="spellEnd"/>
            <w:r w:rsidR="009E3F36">
              <w:t xml:space="preserve"> </w:t>
            </w:r>
            <w:r w:rsidR="00112640">
              <w:t xml:space="preserve"> </w:t>
            </w:r>
            <w:r>
              <w:t xml:space="preserve">components are </w:t>
            </w:r>
            <w:r w:rsidR="009E3F36">
              <w:t>all</w:t>
            </w:r>
            <w:r>
              <w:t xml:space="preserve"> distributed in the international module</w:t>
            </w:r>
            <w:r w:rsidR="00112640">
              <w:t xml:space="preserve">, regardless of the </w:t>
            </w:r>
            <w:proofErr w:type="spellStart"/>
            <w:r w:rsidR="00112640">
              <w:t>definitionStatusId</w:t>
            </w:r>
            <w:proofErr w:type="spellEnd"/>
            <w:r w:rsidR="00112640">
              <w:t xml:space="preserve"> of </w:t>
            </w:r>
            <w:proofErr w:type="spellStart"/>
            <w:r w:rsidR="00112640">
              <w:t>SourceId</w:t>
            </w:r>
            <w:proofErr w:type="spellEnd"/>
          </w:p>
          <w:p w:rsidR="00853DEF" w:rsidRDefault="00853DEF" w:rsidP="00651220"/>
          <w:p w:rsidR="00651220" w:rsidRDefault="00FD46EB" w:rsidP="00651220">
            <w:r>
              <w:t xml:space="preserve">I appreciate that this </w:t>
            </w:r>
            <w:r w:rsidR="00BC5513">
              <w:t>would only allow partial resolution of the data quality and workflow concerns described in sections 5 and 6, but the changes supported in (1)  and (2) above would allow certain patterns of data improvement, whilst preserving ‘consistency of views’ for the international data.</w:t>
            </w:r>
          </w:p>
          <w:p w:rsidR="00853DEF" w:rsidRDefault="00853DEF" w:rsidP="00651220"/>
          <w:p w:rsidR="00853DEF" w:rsidRDefault="00853DEF" w:rsidP="00C15D3B">
            <w:r>
              <w:t xml:space="preserve">I also concede that some of the changes above will result in </w:t>
            </w:r>
            <w:r w:rsidRPr="00C15D3B">
              <w:rPr>
                <w:u w:val="single"/>
              </w:rPr>
              <w:t>inferred</w:t>
            </w:r>
            <w:r>
              <w:t xml:space="preserve"> changes to international relationships (addition of new and inactivation of redundant </w:t>
            </w:r>
            <w:proofErr w:type="spellStart"/>
            <w:r>
              <w:t>IsAs</w:t>
            </w:r>
            <w:proofErr w:type="spellEnd"/>
            <w:r>
              <w:t xml:space="preserve"> post-classification)</w:t>
            </w:r>
            <w:r w:rsidR="00C15D3B">
              <w:t xml:space="preserve"> in addition to</w:t>
            </w:r>
            <w:r>
              <w:t xml:space="preserve"> the</w:t>
            </w:r>
            <w:r w:rsidR="00C15D3B">
              <w:t xml:space="preserve"> stated changes cautiously supported in 2a.</w:t>
            </w:r>
          </w:p>
        </w:tc>
      </w:tr>
    </w:tbl>
    <w:p w:rsidR="00006958" w:rsidRDefault="00006958"/>
    <w:p w:rsidR="00006958" w:rsidRDefault="00006958"/>
    <w:p w:rsidR="00B65478" w:rsidRDefault="00B65478"/>
    <w:p w:rsidR="00B65478" w:rsidRDefault="00B65478">
      <w:pPr>
        <w:rPr>
          <w:b/>
        </w:rPr>
      </w:pPr>
      <w:r>
        <w:rPr>
          <w:b/>
        </w:rPr>
        <w:t>From Jeremy Rogers:</w:t>
      </w:r>
    </w:p>
    <w:p w:rsidR="00061300" w:rsidRPr="00061300" w:rsidRDefault="00061300" w:rsidP="00061300">
      <w:pPr>
        <w:rPr>
          <w:rFonts w:ascii="Calibri" w:hAnsi="Calibri" w:cs="Calibri"/>
        </w:rPr>
      </w:pPr>
      <w:r w:rsidRPr="00061300">
        <w:rPr>
          <w:rFonts w:ascii="Calibri" w:hAnsi="Calibri" w:cs="Calibri"/>
        </w:rPr>
        <w:t>My guess would be that the original IHTSDO restrictions had two primary motivations:</w:t>
      </w:r>
    </w:p>
    <w:p w:rsidR="00061300" w:rsidRPr="00061300" w:rsidRDefault="00061300" w:rsidP="00061300">
      <w:pPr>
        <w:rPr>
          <w:rFonts w:ascii="Calibri" w:hAnsi="Calibri" w:cs="Calibri"/>
        </w:rPr>
      </w:pPr>
    </w:p>
    <w:p w:rsidR="00061300" w:rsidRPr="00061300" w:rsidRDefault="00061300" w:rsidP="00061300">
      <w:pPr>
        <w:pStyle w:val="ListParagraph"/>
        <w:numPr>
          <w:ilvl w:val="0"/>
          <w:numId w:val="3"/>
        </w:numPr>
        <w:spacing w:line="252" w:lineRule="auto"/>
        <w:rPr>
          <w:rFonts w:ascii="Calibri" w:hAnsi="Calibri" w:cs="Calibri"/>
        </w:rPr>
      </w:pPr>
      <w:r w:rsidRPr="00061300">
        <w:t xml:space="preserve">Reputational – to avoid the risk that, in trying to ‘fix’ the international core content, somebody actually makes it worse but the ultimate victim of the degraded content points the finger of blame at IHTSDO. </w:t>
      </w:r>
    </w:p>
    <w:p w:rsidR="00061300" w:rsidRPr="00061300" w:rsidRDefault="00061300" w:rsidP="00061300">
      <w:pPr>
        <w:pStyle w:val="ListParagraph"/>
        <w:numPr>
          <w:ilvl w:val="0"/>
          <w:numId w:val="3"/>
        </w:numPr>
        <w:spacing w:line="252" w:lineRule="auto"/>
      </w:pPr>
      <w:r w:rsidRPr="00061300">
        <w:t>Interoperability – essentially, Ed’s point that the potential global market for 3</w:t>
      </w:r>
      <w:r w:rsidRPr="00061300">
        <w:rPr>
          <w:vertAlign w:val="superscript"/>
        </w:rPr>
        <w:t>rd</w:t>
      </w:r>
      <w:r w:rsidRPr="00061300">
        <w:t xml:space="preserve"> party knowledge products risks being stifled if SNOMED’s core taxonomy isn’t a global constant.</w:t>
      </w:r>
    </w:p>
    <w:p w:rsidR="00061300" w:rsidRPr="00061300" w:rsidRDefault="00061300" w:rsidP="00061300">
      <w:pPr>
        <w:rPr>
          <w:rFonts w:ascii="Calibri" w:hAnsi="Calibri" w:cs="Calibri"/>
        </w:rPr>
      </w:pPr>
      <w:r w:rsidRPr="00061300">
        <w:rPr>
          <w:rFonts w:ascii="Calibri" w:hAnsi="Calibri" w:cs="Calibri"/>
        </w:rPr>
        <w:t>The other point that springs to mind is that many (all?) of the content fixing, hierarchy bending and non-</w:t>
      </w:r>
      <w:proofErr w:type="spellStart"/>
      <w:r w:rsidRPr="00061300">
        <w:rPr>
          <w:rFonts w:ascii="Calibri" w:hAnsi="Calibri" w:cs="Calibri"/>
        </w:rPr>
        <w:t>isa</w:t>
      </w:r>
      <w:proofErr w:type="spellEnd"/>
      <w:r w:rsidRPr="00061300">
        <w:rPr>
          <w:rFonts w:ascii="Calibri" w:hAnsi="Calibri" w:cs="Calibri"/>
        </w:rPr>
        <w:t xml:space="preserve"> relationship adding/deleting operations that Matt discusses can already be done entirely legitimately </w:t>
      </w:r>
      <w:r w:rsidRPr="00061300">
        <w:rPr>
          <w:rFonts w:ascii="Calibri" w:hAnsi="Calibri" w:cs="Calibri"/>
          <w:i/>
          <w:iCs/>
        </w:rPr>
        <w:t>not</w:t>
      </w:r>
      <w:r w:rsidRPr="00061300">
        <w:rPr>
          <w:rFonts w:ascii="Calibri" w:hAnsi="Calibri" w:cs="Calibri"/>
        </w:rPr>
        <w:t xml:space="preserve"> as direct edits on the international core components themselves but as a knowledge layer </w:t>
      </w:r>
      <w:r w:rsidRPr="00061300">
        <w:rPr>
          <w:rFonts w:ascii="Calibri" w:hAnsi="Calibri" w:cs="Calibri"/>
        </w:rPr>
        <w:lastRenderedPageBreak/>
        <w:t xml:space="preserve">superimposed over it by means of </w:t>
      </w:r>
      <w:proofErr w:type="spellStart"/>
      <w:r w:rsidRPr="00061300">
        <w:rPr>
          <w:rFonts w:ascii="Calibri" w:hAnsi="Calibri" w:cs="Calibri"/>
        </w:rPr>
        <w:t>e.g</w:t>
      </w:r>
      <w:proofErr w:type="spellEnd"/>
      <w:r w:rsidRPr="00061300">
        <w:rPr>
          <w:rFonts w:ascii="Calibri" w:hAnsi="Calibri" w:cs="Calibri"/>
        </w:rPr>
        <w:t xml:space="preserve"> navigational </w:t>
      </w:r>
      <w:proofErr w:type="spellStart"/>
      <w:r w:rsidRPr="00061300">
        <w:rPr>
          <w:rFonts w:ascii="Calibri" w:hAnsi="Calibri" w:cs="Calibri"/>
        </w:rPr>
        <w:t>refsets</w:t>
      </w:r>
      <w:proofErr w:type="spellEnd"/>
      <w:r w:rsidRPr="00061300">
        <w:rPr>
          <w:rFonts w:ascii="Calibri" w:hAnsi="Calibri" w:cs="Calibri"/>
        </w:rPr>
        <w:t xml:space="preserve"> and their like. For example, to get a taxonomy that looks like their ‘tree nut’ example, they could add tree nut as a leaf node but then define a </w:t>
      </w:r>
      <w:proofErr w:type="spellStart"/>
      <w:r w:rsidRPr="00061300">
        <w:rPr>
          <w:rFonts w:ascii="Calibri" w:hAnsi="Calibri" w:cs="Calibri"/>
        </w:rPr>
        <w:t>nav</w:t>
      </w:r>
      <w:proofErr w:type="spellEnd"/>
      <w:r w:rsidRPr="00061300">
        <w:rPr>
          <w:rFonts w:ascii="Calibri" w:hAnsi="Calibri" w:cs="Calibri"/>
        </w:rPr>
        <w:t xml:space="preserve"> </w:t>
      </w:r>
      <w:proofErr w:type="spellStart"/>
      <w:r w:rsidRPr="00061300">
        <w:rPr>
          <w:rFonts w:ascii="Calibri" w:hAnsi="Calibri" w:cs="Calibri"/>
        </w:rPr>
        <w:t>refset</w:t>
      </w:r>
      <w:proofErr w:type="spellEnd"/>
      <w:r w:rsidRPr="00061300">
        <w:rPr>
          <w:rFonts w:ascii="Calibri" w:hAnsi="Calibri" w:cs="Calibri"/>
        </w:rPr>
        <w:t xml:space="preserve"> that puts it where they want it. </w:t>
      </w:r>
    </w:p>
    <w:p w:rsidR="00061300" w:rsidRPr="00061300" w:rsidRDefault="00061300" w:rsidP="00061300">
      <w:pPr>
        <w:rPr>
          <w:rFonts w:ascii="Calibri" w:hAnsi="Calibri" w:cs="Calibri"/>
        </w:rPr>
      </w:pPr>
    </w:p>
    <w:p w:rsidR="00061300" w:rsidRPr="00061300" w:rsidRDefault="00061300" w:rsidP="00061300">
      <w:pPr>
        <w:rPr>
          <w:rFonts w:ascii="Calibri" w:hAnsi="Calibri" w:cs="Calibri"/>
        </w:rPr>
      </w:pPr>
      <w:r w:rsidRPr="00061300">
        <w:rPr>
          <w:rFonts w:ascii="Calibri" w:hAnsi="Calibri" w:cs="Calibri"/>
        </w:rPr>
        <w:t>This sort of ‘</w:t>
      </w:r>
      <w:proofErr w:type="spellStart"/>
      <w:r w:rsidRPr="00061300">
        <w:rPr>
          <w:rFonts w:ascii="Calibri" w:hAnsi="Calibri" w:cs="Calibri"/>
        </w:rPr>
        <w:t>stand off</w:t>
      </w:r>
      <w:proofErr w:type="spellEnd"/>
      <w:r w:rsidRPr="00061300">
        <w:rPr>
          <w:rFonts w:ascii="Calibri" w:hAnsi="Calibri" w:cs="Calibri"/>
        </w:rPr>
        <w:t xml:space="preserve">’ fixing of the content is, of course, rather more complicated to consume as an engineering design. Also, since it legitimises what is </w:t>
      </w:r>
      <w:r w:rsidRPr="00061300">
        <w:rPr>
          <w:rFonts w:ascii="Calibri" w:hAnsi="Calibri" w:cs="Calibri"/>
          <w:i/>
          <w:iCs/>
        </w:rPr>
        <w:t>logically</w:t>
      </w:r>
      <w:r w:rsidRPr="00061300">
        <w:rPr>
          <w:rFonts w:ascii="Calibri" w:hAnsi="Calibri" w:cs="Calibri"/>
        </w:rPr>
        <w:t xml:space="preserve"> the same end result (of a different taxonomy), </w:t>
      </w:r>
      <w:r w:rsidRPr="00061300">
        <w:rPr>
          <w:rFonts w:ascii="Calibri" w:hAnsi="Calibri" w:cs="Calibri"/>
        </w:rPr>
        <w:t>it’s</w:t>
      </w:r>
      <w:r w:rsidRPr="00061300">
        <w:rPr>
          <w:rFonts w:ascii="Calibri" w:hAnsi="Calibri" w:cs="Calibri"/>
        </w:rPr>
        <w:t xml:space="preserve"> not unreasonable to wonder why we need to be restricted to an </w:t>
      </w:r>
      <w:proofErr w:type="spellStart"/>
      <w:r w:rsidRPr="00061300">
        <w:rPr>
          <w:rFonts w:ascii="Calibri" w:hAnsi="Calibri" w:cs="Calibri"/>
        </w:rPr>
        <w:t>indirected</w:t>
      </w:r>
      <w:proofErr w:type="spellEnd"/>
      <w:r w:rsidRPr="00061300">
        <w:rPr>
          <w:rFonts w:ascii="Calibri" w:hAnsi="Calibri" w:cs="Calibri"/>
        </w:rPr>
        <w:t xml:space="preserve"> logical representation of the fixes required rather than being also allowed to distribute a simpler direct encoding? </w:t>
      </w:r>
    </w:p>
    <w:p w:rsidR="00061300" w:rsidRPr="00061300" w:rsidRDefault="00061300" w:rsidP="00061300">
      <w:pPr>
        <w:rPr>
          <w:rFonts w:ascii="Calibri" w:hAnsi="Calibri" w:cs="Calibri"/>
        </w:rPr>
      </w:pPr>
    </w:p>
    <w:p w:rsidR="00061300" w:rsidRPr="00061300" w:rsidRDefault="00061300" w:rsidP="00061300">
      <w:pPr>
        <w:rPr>
          <w:rFonts w:ascii="Calibri" w:hAnsi="Calibri" w:cs="Calibri"/>
        </w:rPr>
      </w:pPr>
      <w:r w:rsidRPr="00061300">
        <w:rPr>
          <w:rFonts w:ascii="Calibri" w:hAnsi="Calibri" w:cs="Calibri"/>
        </w:rPr>
        <w:t xml:space="preserve">I guess the </w:t>
      </w:r>
      <w:proofErr w:type="spellStart"/>
      <w:r w:rsidRPr="00061300">
        <w:rPr>
          <w:rFonts w:ascii="Calibri" w:hAnsi="Calibri" w:cs="Calibri"/>
        </w:rPr>
        <w:t>indirected</w:t>
      </w:r>
      <w:proofErr w:type="spellEnd"/>
      <w:r w:rsidRPr="00061300">
        <w:rPr>
          <w:rFonts w:ascii="Calibri" w:hAnsi="Calibri" w:cs="Calibri"/>
        </w:rPr>
        <w:t xml:space="preserve"> logical approach has the advantage from the point of view of the two risks above that you can tell when the approach is being used, and so detect more reliably when your knowledge product is at risk of performing other than as designed. And IHTSDO can more easily point to the bit that they take responsibility for, and divert blame where it is due.</w:t>
      </w:r>
    </w:p>
    <w:p w:rsidR="00061300" w:rsidRPr="00061300" w:rsidRDefault="00061300" w:rsidP="00061300">
      <w:pPr>
        <w:rPr>
          <w:rFonts w:ascii="Calibri" w:hAnsi="Calibri" w:cs="Calibri"/>
        </w:rPr>
      </w:pPr>
    </w:p>
    <w:p w:rsidR="00B65478" w:rsidRDefault="00061300" w:rsidP="00061300">
      <w:pPr>
        <w:rPr>
          <w:rFonts w:ascii="Calibri" w:hAnsi="Calibri" w:cs="Calibri"/>
        </w:rPr>
      </w:pPr>
      <w:r w:rsidRPr="00061300">
        <w:rPr>
          <w:rFonts w:ascii="Calibri" w:hAnsi="Calibri" w:cs="Calibri"/>
        </w:rPr>
        <w:t xml:space="preserve">Finally, whilst I can understand that folk become impatient with the slow speed with which SNOMED CT content quality improves and so want to be able to fix it themselves unilaterally, I suspect the end result over a 20 year time scale will be counterproductive. Quick local fixes will certainly allow more progress to be made in the first 10 years but thereafter they will increasingly slow things down, especially once you have to undo your local fixes to take account of the fact that the problem was eventually fixed centrally, but in a different way. I suspect the world would be in a more advanced place in 20 </w:t>
      </w:r>
      <w:proofErr w:type="spellStart"/>
      <w:r w:rsidRPr="00061300">
        <w:rPr>
          <w:rFonts w:ascii="Calibri" w:hAnsi="Calibri" w:cs="Calibri"/>
        </w:rPr>
        <w:t>years time</w:t>
      </w:r>
      <w:proofErr w:type="spellEnd"/>
      <w:r w:rsidRPr="00061300">
        <w:rPr>
          <w:rFonts w:ascii="Calibri" w:hAnsi="Calibri" w:cs="Calibri"/>
        </w:rPr>
        <w:t xml:space="preserve"> if we focussed more on what was needed to improve our ability to work efficiently on polishing a shared core and less on legitimising our own individual SNEXITs.</w:t>
      </w:r>
    </w:p>
    <w:p w:rsidR="00061300" w:rsidRDefault="00061300" w:rsidP="00061300">
      <w:pPr>
        <w:rPr>
          <w:rFonts w:ascii="Calibri" w:hAnsi="Calibri" w:cs="Calibri"/>
        </w:rPr>
      </w:pPr>
    </w:p>
    <w:p w:rsidR="00061300" w:rsidRDefault="00061300" w:rsidP="00061300">
      <w:pPr>
        <w:rPr>
          <w:rFonts w:ascii="Calibri" w:hAnsi="Calibri" w:cs="Calibri"/>
          <w:b/>
        </w:rPr>
      </w:pPr>
      <w:r>
        <w:rPr>
          <w:rFonts w:ascii="Calibri" w:hAnsi="Calibri" w:cs="Calibri"/>
          <w:b/>
        </w:rPr>
        <w:t xml:space="preserve">From Emma </w:t>
      </w:r>
      <w:proofErr w:type="spellStart"/>
      <w:r>
        <w:rPr>
          <w:rFonts w:ascii="Calibri" w:hAnsi="Calibri" w:cs="Calibri"/>
          <w:b/>
        </w:rPr>
        <w:t>Meluish</w:t>
      </w:r>
      <w:proofErr w:type="spellEnd"/>
      <w:r>
        <w:rPr>
          <w:rFonts w:ascii="Calibri" w:hAnsi="Calibri" w:cs="Calibri"/>
          <w:b/>
        </w:rPr>
        <w:t xml:space="preserve"> regarding pharmacy content only</w:t>
      </w:r>
    </w:p>
    <w:p w:rsidR="00061300" w:rsidRPr="00061300" w:rsidRDefault="00061300" w:rsidP="00061300">
      <w:pPr>
        <w:rPr>
          <w:rFonts w:cstheme="minorHAnsi"/>
        </w:rPr>
      </w:pPr>
      <w:r w:rsidRPr="00061300">
        <w:rPr>
          <w:rFonts w:cstheme="minorHAnsi"/>
        </w:rPr>
        <w:t>In the SCT UK Drug extension we certainly have found the need to carr</w:t>
      </w:r>
      <w:r>
        <w:rPr>
          <w:rFonts w:cstheme="minorHAnsi"/>
        </w:rPr>
        <w:t xml:space="preserve">y out the addition of new stated </w:t>
      </w:r>
      <w:proofErr w:type="spellStart"/>
      <w:r>
        <w:rPr>
          <w:rFonts w:cstheme="minorHAnsi"/>
        </w:rPr>
        <w:t>IsA</w:t>
      </w:r>
      <w:proofErr w:type="spellEnd"/>
      <w:r>
        <w:rPr>
          <w:rFonts w:cstheme="minorHAnsi"/>
        </w:rPr>
        <w:t xml:space="preserve"> relationships for international release content</w:t>
      </w:r>
    </w:p>
    <w:p w:rsidR="00061300" w:rsidRPr="00061300" w:rsidRDefault="00061300" w:rsidP="00061300">
      <w:pPr>
        <w:pStyle w:val="ListParagraph"/>
        <w:numPr>
          <w:ilvl w:val="0"/>
          <w:numId w:val="4"/>
        </w:numPr>
        <w:spacing w:line="252" w:lineRule="auto"/>
        <w:rPr>
          <w:rFonts w:cstheme="minorHAnsi"/>
          <w:lang w:eastAsia="en-GB"/>
        </w:rPr>
      </w:pPr>
      <w:r w:rsidRPr="00061300">
        <w:rPr>
          <w:rFonts w:cstheme="minorHAnsi"/>
          <w:lang w:eastAsia="en-GB"/>
        </w:rPr>
        <w:t xml:space="preserve">To compensate for the inconsistencies in the international release drugs modelling </w:t>
      </w:r>
    </w:p>
    <w:p w:rsidR="00061300" w:rsidRPr="00061300" w:rsidRDefault="00061300" w:rsidP="00061300">
      <w:pPr>
        <w:pStyle w:val="ListParagraph"/>
        <w:numPr>
          <w:ilvl w:val="0"/>
          <w:numId w:val="4"/>
        </w:numPr>
        <w:spacing w:line="252" w:lineRule="auto"/>
        <w:rPr>
          <w:rFonts w:cstheme="minorHAnsi"/>
          <w:lang w:eastAsia="en-GB"/>
        </w:rPr>
      </w:pPr>
      <w:r w:rsidRPr="00061300">
        <w:rPr>
          <w:rFonts w:cstheme="minorHAnsi"/>
          <w:lang w:eastAsia="en-GB"/>
        </w:rPr>
        <w:t>To compensate for inconsistencies in the international drugs market (some drug salts/compounds that are clinically significant in the UK are not considered so in other counties where only one salt/compound is available).</w:t>
      </w:r>
    </w:p>
    <w:p w:rsidR="00061300" w:rsidRPr="00061300" w:rsidRDefault="00061300" w:rsidP="00061300">
      <w:pPr>
        <w:pStyle w:val="ListParagraph"/>
        <w:numPr>
          <w:ilvl w:val="0"/>
          <w:numId w:val="4"/>
        </w:numPr>
        <w:spacing w:line="252" w:lineRule="auto"/>
        <w:rPr>
          <w:rFonts w:cstheme="minorHAnsi"/>
          <w:lang w:eastAsia="en-GB"/>
        </w:rPr>
      </w:pPr>
      <w:r w:rsidRPr="00061300">
        <w:rPr>
          <w:rFonts w:cstheme="minorHAnsi"/>
          <w:lang w:eastAsia="en-GB"/>
        </w:rPr>
        <w:t xml:space="preserve">To support our own use cases for grouping of content. </w:t>
      </w:r>
    </w:p>
    <w:p w:rsidR="00061300" w:rsidRPr="00061300" w:rsidRDefault="00061300" w:rsidP="00061300">
      <w:pPr>
        <w:rPr>
          <w:rFonts w:cstheme="minorHAnsi"/>
          <w:lang w:eastAsia="en-GB"/>
        </w:rPr>
      </w:pPr>
    </w:p>
    <w:p w:rsidR="00061300" w:rsidRDefault="00061300" w:rsidP="00061300">
      <w:pPr>
        <w:rPr>
          <w:rFonts w:cstheme="minorHAnsi"/>
        </w:rPr>
      </w:pPr>
      <w:r w:rsidRPr="00061300">
        <w:rPr>
          <w:rFonts w:cstheme="minorHAnsi"/>
        </w:rPr>
        <w:lastRenderedPageBreak/>
        <w:t>Some of this may resolve itself when the IHTSD</w:t>
      </w:r>
      <w:r>
        <w:rPr>
          <w:rFonts w:cstheme="minorHAnsi"/>
        </w:rPr>
        <w:t xml:space="preserve">O start to work on improving </w:t>
      </w:r>
      <w:r w:rsidRPr="00061300">
        <w:rPr>
          <w:rFonts w:cstheme="minorHAnsi"/>
        </w:rPr>
        <w:t>drugs hierarchy or the IHTSDO may make decisions that take the international content and relationships even further from what we require.</w:t>
      </w:r>
    </w:p>
    <w:p w:rsidR="00061300" w:rsidRDefault="00061300" w:rsidP="00061300">
      <w:pPr>
        <w:rPr>
          <w:rFonts w:cstheme="minorHAnsi"/>
        </w:rPr>
      </w:pPr>
    </w:p>
    <w:p w:rsidR="00061300" w:rsidRPr="00061300" w:rsidRDefault="00061300" w:rsidP="00061300">
      <w:pPr>
        <w:rPr>
          <w:rFonts w:cstheme="minorHAnsi"/>
          <w:b/>
        </w:rPr>
      </w:pPr>
      <w:r w:rsidRPr="00061300">
        <w:rPr>
          <w:rFonts w:cstheme="minorHAnsi"/>
          <w:b/>
        </w:rPr>
        <w:t>From Martin Deighton</w:t>
      </w:r>
    </w:p>
    <w:p w:rsidR="00061300" w:rsidRPr="00061300" w:rsidRDefault="00061300" w:rsidP="00061300">
      <w:r w:rsidRPr="00061300">
        <w:t>1. Using Extension edits to correct genuine Core errors isn’t ideal, as every licensee will have to deal with them separately. A prompt update from IHTSDO is required. The append-only model ought to make this easy. Many of the concerns raised in the paper would be mitigated by greater responsiveness from IHTSDO, and closer collaboration with them.</w:t>
      </w:r>
    </w:p>
    <w:p w:rsidR="00061300" w:rsidRPr="00061300" w:rsidRDefault="00061300" w:rsidP="00061300"/>
    <w:p w:rsidR="00061300" w:rsidRPr="00061300" w:rsidRDefault="00061300" w:rsidP="00061300">
      <w:r w:rsidRPr="00061300">
        <w:t xml:space="preserve">2. Given the transitivity of IS_A relationships, interposing Extension concepts between Core ones in the hierarchy </w:t>
      </w:r>
      <w:proofErr w:type="gramStart"/>
      <w:r w:rsidRPr="00061300">
        <w:t>ought</w:t>
      </w:r>
      <w:proofErr w:type="gramEnd"/>
      <w:r w:rsidRPr="00061300">
        <w:t xml:space="preserve"> be allowed. No information is lost by this. Retiring the redundant IS_A locally is an uncertain measure, however. At some point in the future, if IHTSDO give it a new effective date, it will pop back into existence again in the Extension.</w:t>
      </w:r>
    </w:p>
    <w:p w:rsidR="00061300" w:rsidRPr="00061300" w:rsidRDefault="00061300" w:rsidP="00061300"/>
    <w:p w:rsidR="00061300" w:rsidRPr="00061300" w:rsidRDefault="00061300" w:rsidP="00061300">
      <w:r w:rsidRPr="00061300">
        <w:t>3. Aren’t the Aspirin and nut examples really a matter of style and convenience rather than necessity? Sometimes there are other ways to express this information. For example, the Pharmacy Extension uses the “Has dispensed dose form” attribute to denote which medicines are tablets. How much leeway licensees are allowed in organising their hierarchies seems to be the main question here, and clarification is probably needed from IHTSDO.</w:t>
      </w:r>
    </w:p>
    <w:p w:rsidR="00061300" w:rsidRDefault="00061300" w:rsidP="00061300">
      <w:pPr>
        <w:rPr>
          <w:rFonts w:cstheme="minorHAnsi"/>
        </w:rPr>
      </w:pPr>
    </w:p>
    <w:p w:rsidR="000372BE" w:rsidRDefault="000832FC" w:rsidP="00061300">
      <w:pPr>
        <w:rPr>
          <w:rFonts w:cstheme="minorHAnsi"/>
          <w:b/>
        </w:rPr>
      </w:pPr>
      <w:r>
        <w:rPr>
          <w:rFonts w:cstheme="minorHAnsi"/>
          <w:b/>
        </w:rPr>
        <w:t xml:space="preserve">From Zac Whitewood-Moores - </w:t>
      </w:r>
      <w:r w:rsidR="000372BE">
        <w:rPr>
          <w:rFonts w:cstheme="minorHAnsi"/>
          <w:b/>
        </w:rPr>
        <w:t xml:space="preserve">Changes to metadata to organise local </w:t>
      </w:r>
      <w:proofErr w:type="spellStart"/>
      <w:r w:rsidR="000372BE">
        <w:rPr>
          <w:rFonts w:cstheme="minorHAnsi"/>
          <w:b/>
        </w:rPr>
        <w:t>refsets</w:t>
      </w:r>
      <w:proofErr w:type="spellEnd"/>
      <w:r w:rsidR="000372BE">
        <w:rPr>
          <w:rFonts w:cstheme="minorHAnsi"/>
          <w:b/>
        </w:rPr>
        <w:t xml:space="preserve"> in to meaningful hierarchies.</w:t>
      </w:r>
    </w:p>
    <w:p w:rsidR="000372BE" w:rsidRDefault="000372BE" w:rsidP="00061300">
      <w:pPr>
        <w:rPr>
          <w:rFonts w:cstheme="minorHAnsi"/>
        </w:rPr>
      </w:pPr>
      <w:r>
        <w:rPr>
          <w:rFonts w:cstheme="minorHAnsi"/>
        </w:rPr>
        <w:t xml:space="preserve">The UK have been reviewing the hierarchical structure of metadata for </w:t>
      </w:r>
      <w:proofErr w:type="spellStart"/>
      <w:r>
        <w:rPr>
          <w:rFonts w:cstheme="minorHAnsi"/>
        </w:rPr>
        <w:t>refsets</w:t>
      </w:r>
      <w:proofErr w:type="spellEnd"/>
      <w:r>
        <w:rPr>
          <w:rFonts w:cstheme="minorHAnsi"/>
        </w:rPr>
        <w:t xml:space="preserve"> and have found that to obtain meaningful navigation for users that it would be preferable to amend existing international  </w:t>
      </w:r>
      <w:proofErr w:type="spellStart"/>
      <w:r>
        <w:rPr>
          <w:rFonts w:cstheme="minorHAnsi"/>
        </w:rPr>
        <w:t>IsA</w:t>
      </w:r>
      <w:proofErr w:type="spellEnd"/>
      <w:r>
        <w:rPr>
          <w:rFonts w:cstheme="minorHAnsi"/>
        </w:rPr>
        <w:t xml:space="preserve"> relationships.  Please see the example below</w:t>
      </w:r>
      <w:r w:rsidR="000832FC">
        <w:rPr>
          <w:rFonts w:cstheme="minorHAnsi"/>
        </w:rPr>
        <w:t xml:space="preserve"> showing a suggested change to GP/FP </w:t>
      </w:r>
      <w:proofErr w:type="spellStart"/>
      <w:r w:rsidR="000832FC">
        <w:rPr>
          <w:rFonts w:cstheme="minorHAnsi"/>
        </w:rPr>
        <w:t>refset</w:t>
      </w:r>
      <w:proofErr w:type="spellEnd"/>
      <w:r w:rsidR="000832FC">
        <w:rPr>
          <w:rFonts w:cstheme="minorHAnsi"/>
        </w:rPr>
        <w:t xml:space="preserve"> relationships</w:t>
      </w:r>
      <w:r>
        <w:rPr>
          <w:rFonts w:cstheme="minorHAnsi"/>
        </w:rPr>
        <w:t>.  We understand that Australia and Singapore already do this so would be grateful if this type of change were also considered as part of this review.</w:t>
      </w:r>
    </w:p>
    <w:p w:rsidR="000372BE" w:rsidRDefault="000372BE" w:rsidP="00061300">
      <w:pPr>
        <w:rPr>
          <w:rFonts w:cstheme="minorHAnsi"/>
        </w:rPr>
      </w:pPr>
      <w:r>
        <w:rPr>
          <w:noProof/>
          <w:lang w:eastAsia="en-GB"/>
        </w:rPr>
        <w:lastRenderedPageBreak/>
        <w:drawing>
          <wp:inline distT="0" distB="0" distL="0" distR="0" wp14:anchorId="20676572" wp14:editId="6A319AB0">
            <wp:extent cx="9229725" cy="51054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9238943" cy="5110499"/>
                    </a:xfrm>
                    <a:prstGeom prst="rect">
                      <a:avLst/>
                    </a:prstGeom>
                  </pic:spPr>
                </pic:pic>
              </a:graphicData>
            </a:graphic>
          </wp:inline>
        </w:drawing>
      </w:r>
    </w:p>
    <w:p w:rsidR="000372BE" w:rsidRDefault="000372BE" w:rsidP="00061300">
      <w:pPr>
        <w:rPr>
          <w:rFonts w:cstheme="minorHAnsi"/>
        </w:rPr>
      </w:pPr>
    </w:p>
    <w:p w:rsidR="000372BE" w:rsidRPr="000372BE" w:rsidRDefault="000372BE" w:rsidP="00061300">
      <w:pPr>
        <w:rPr>
          <w:rFonts w:cstheme="minorHAnsi"/>
        </w:rPr>
      </w:pPr>
    </w:p>
    <w:p w:rsidR="00061300" w:rsidRPr="00061300" w:rsidRDefault="00061300" w:rsidP="00061300">
      <w:pPr>
        <w:rPr>
          <w:rFonts w:ascii="Calibri" w:hAnsi="Calibri" w:cs="Calibri"/>
          <w:b/>
        </w:rPr>
      </w:pPr>
    </w:p>
    <w:sectPr w:rsidR="00061300" w:rsidRPr="00061300" w:rsidSect="00006958">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1B8B"/>
    <w:multiLevelType w:val="hybridMultilevel"/>
    <w:tmpl w:val="7BE6975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nsid w:val="11D546B4"/>
    <w:multiLevelType w:val="hybridMultilevel"/>
    <w:tmpl w:val="AF1C3DB4"/>
    <w:lvl w:ilvl="0" w:tplc="B268BA4C">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06778A0"/>
    <w:multiLevelType w:val="hybridMultilevel"/>
    <w:tmpl w:val="2A94CC6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nsid w:val="73C949B3"/>
    <w:multiLevelType w:val="hybridMultilevel"/>
    <w:tmpl w:val="A218FC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958"/>
    <w:rsid w:val="00006958"/>
    <w:rsid w:val="000372BE"/>
    <w:rsid w:val="00061300"/>
    <w:rsid w:val="000832FC"/>
    <w:rsid w:val="00112640"/>
    <w:rsid w:val="00192748"/>
    <w:rsid w:val="00257A80"/>
    <w:rsid w:val="003D00CB"/>
    <w:rsid w:val="005C3BE8"/>
    <w:rsid w:val="00651220"/>
    <w:rsid w:val="00776C73"/>
    <w:rsid w:val="00853DEF"/>
    <w:rsid w:val="00952D89"/>
    <w:rsid w:val="00984CA8"/>
    <w:rsid w:val="009B240A"/>
    <w:rsid w:val="009E3F36"/>
    <w:rsid w:val="00A754C3"/>
    <w:rsid w:val="00A923E6"/>
    <w:rsid w:val="00AE4D87"/>
    <w:rsid w:val="00B1030D"/>
    <w:rsid w:val="00B65478"/>
    <w:rsid w:val="00B923CA"/>
    <w:rsid w:val="00BC5513"/>
    <w:rsid w:val="00C00AB2"/>
    <w:rsid w:val="00C15D3B"/>
    <w:rsid w:val="00C94E69"/>
    <w:rsid w:val="00DB4FDF"/>
    <w:rsid w:val="00FD46EB"/>
    <w:rsid w:val="00FD70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06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00AB2"/>
    <w:rPr>
      <w:color w:val="0563C1" w:themeColor="hyperlink"/>
      <w:u w:val="single"/>
    </w:rPr>
  </w:style>
  <w:style w:type="paragraph" w:styleId="ListParagraph">
    <w:name w:val="List Paragraph"/>
    <w:basedOn w:val="Normal"/>
    <w:uiPriority w:val="34"/>
    <w:qFormat/>
    <w:rsid w:val="00AE4D87"/>
    <w:pPr>
      <w:ind w:left="720"/>
      <w:contextualSpacing/>
    </w:pPr>
  </w:style>
  <w:style w:type="paragraph" w:styleId="BalloonText">
    <w:name w:val="Balloon Text"/>
    <w:basedOn w:val="Normal"/>
    <w:link w:val="BalloonTextChar"/>
    <w:uiPriority w:val="99"/>
    <w:semiHidden/>
    <w:unhideWhenUsed/>
    <w:rsid w:val="000372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72B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06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00AB2"/>
    <w:rPr>
      <w:color w:val="0563C1" w:themeColor="hyperlink"/>
      <w:u w:val="single"/>
    </w:rPr>
  </w:style>
  <w:style w:type="paragraph" w:styleId="ListParagraph">
    <w:name w:val="List Paragraph"/>
    <w:basedOn w:val="Normal"/>
    <w:uiPriority w:val="34"/>
    <w:qFormat/>
    <w:rsid w:val="00AE4D87"/>
    <w:pPr>
      <w:ind w:left="720"/>
      <w:contextualSpacing/>
    </w:pPr>
  </w:style>
  <w:style w:type="paragraph" w:styleId="BalloonText">
    <w:name w:val="Balloon Text"/>
    <w:basedOn w:val="Normal"/>
    <w:link w:val="BalloonTextChar"/>
    <w:uiPriority w:val="99"/>
    <w:semiHidden/>
    <w:unhideWhenUsed/>
    <w:rsid w:val="000372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72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3579798">
      <w:bodyDiv w:val="1"/>
      <w:marLeft w:val="0"/>
      <w:marRight w:val="0"/>
      <w:marTop w:val="0"/>
      <w:marBottom w:val="0"/>
      <w:divBdr>
        <w:top w:val="none" w:sz="0" w:space="0" w:color="auto"/>
        <w:left w:val="none" w:sz="0" w:space="0" w:color="auto"/>
        <w:bottom w:val="none" w:sz="0" w:space="0" w:color="auto"/>
        <w:right w:val="none" w:sz="0" w:space="0" w:color="auto"/>
      </w:divBdr>
    </w:div>
    <w:div w:id="1781027224">
      <w:bodyDiv w:val="1"/>
      <w:marLeft w:val="0"/>
      <w:marRight w:val="0"/>
      <w:marTop w:val="0"/>
      <w:marBottom w:val="0"/>
      <w:divBdr>
        <w:top w:val="none" w:sz="0" w:space="0" w:color="auto"/>
        <w:left w:val="none" w:sz="0" w:space="0" w:color="auto"/>
        <w:bottom w:val="none" w:sz="0" w:space="0" w:color="auto"/>
        <w:right w:val="none" w:sz="0" w:space="0" w:color="auto"/>
      </w:divBdr>
    </w:div>
    <w:div w:id="1805197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hyperlink" Target="http://www.ncbi.nlm.nih.gov/pubmed/986503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omed.org/g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1609</Words>
  <Characters>9172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Health &amp; Social Care Information Centre</Company>
  <LinksUpToDate>false</LinksUpToDate>
  <CharactersWithSpaces>10760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Cheetham</dc:creator>
  <cp:lastModifiedBy>Wooler Elaine</cp:lastModifiedBy>
  <cp:revision>2</cp:revision>
  <dcterms:created xsi:type="dcterms:W3CDTF">2016-09-12T08:27:00Z</dcterms:created>
  <dcterms:modified xsi:type="dcterms:W3CDTF">2016-09-12T08:27:00Z</dcterms:modified>
</cp:coreProperties>
</file>